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771"/>
        </w:tabs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商务技术响应表</w:t>
      </w:r>
    </w:p>
    <w:tbl>
      <w:tblPr>
        <w:tblStyle w:val="4"/>
        <w:tblpPr w:leftFromText="180" w:rightFromText="180" w:vertAnchor="text" w:horzAnchor="page" w:tblpX="1609" w:tblpY="334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1475"/>
        <w:gridCol w:w="4294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</w:trPr>
        <w:tc>
          <w:tcPr>
            <w:tcW w:w="92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0" w:name="_Toc254970729"/>
            <w:bookmarkStart w:id="1" w:name="_Toc254970588"/>
            <w:bookmarkStart w:id="2" w:name="_Toc405905876"/>
            <w:bookmarkStart w:id="3" w:name="_Toc173066401"/>
            <w:bookmarkStart w:id="4" w:name="_Toc173211900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</w:trPr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采购要求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" w:name="_Toc173066404"/>
            <w:bookmarkStart w:id="6" w:name="_Toc405905879"/>
            <w:bookmarkStart w:id="7" w:name="_Toc254970591"/>
            <w:bookmarkStart w:id="8" w:name="_Toc254970732"/>
            <w:bookmarkStart w:id="9" w:name="_Toc173211903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响应/偏离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173066406"/>
            <w:bookmarkStart w:id="11" w:name="_Toc254970734"/>
            <w:bookmarkStart w:id="12" w:name="_Toc254970593"/>
            <w:bookmarkStart w:id="13" w:name="_Toc173211905"/>
            <w:bookmarkStart w:id="14" w:name="_Toc405905882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服务时间及服务地点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服务时间：自合同签订之日起1年。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服务地点：采购人指定地点。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每季度结算一次，成交供应商提供合规发票后15个工作日内付清。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报价要求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报价服务费、人员工资、检测与试验费、仪器使用费、差旅费、通信费、交通费、设备使用费、印刷费、资料费、公司管理费、税金等与本项目服务工作有关的一切费用及利润；采购人不再支付成交价格以外的任何费用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本项目的所有服务内容，不得转让或转包、分包。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/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tbl>
      <w:tblPr>
        <w:tblStyle w:val="4"/>
        <w:tblW w:w="9357" w:type="dxa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84"/>
        <w:gridCol w:w="2233"/>
        <w:gridCol w:w="1138"/>
        <w:gridCol w:w="686"/>
        <w:gridCol w:w="677"/>
        <w:gridCol w:w="872"/>
        <w:gridCol w:w="819"/>
        <w:gridCol w:w="578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技术部分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4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项目(因子)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监测点(个)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监测天数(天)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监测频率(次／天)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监测频率(次／年)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响应/偏离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氨（氨气）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 污水处理站东面/G2 污水处理站南面/G3 污水处理站西面/G4 污水处理站北面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每季度监测一次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氯气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甲烷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每季度监测一次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总余氯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每星期监测一次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r>
        <w:rPr>
          <w:rFonts w:hint="eastAsia"/>
        </w:rPr>
        <w:t>根据响应情况填写正偏离或负偏离，完全符合的填写“无偏离”。</w:t>
      </w:r>
    </w:p>
    <w:p>
      <w:pPr>
        <w:spacing w:line="400" w:lineRule="exact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/>
    <w:p>
      <w:pPr>
        <w:pStyle w:val="6"/>
      </w:pPr>
    </w:p>
    <w:p>
      <w:pPr>
        <w:pStyle w:val="2"/>
      </w:pP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7B23"/>
    <w:rsid w:val="480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表格文字"/>
    <w:basedOn w:val="1"/>
    <w:next w:val="2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2024-02-29T08:55:00Z</dcterms:created>
  <dc:creator>云和</dc:creator>
  <cp:lastModifiedBy>云和</cp:lastModifiedBy>
  <dcterms:modified xsi:type="dcterms:W3CDTF">2024-02-29T08:55:45Z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E5C48269B10B4C7B8B6BCFD3358D8764</vt:lpwstr>
  </property>
</Properties>
</file>