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首次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3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7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6"/>
        <w:gridCol w:w="2641"/>
        <w:gridCol w:w="1227"/>
        <w:gridCol w:w="1215"/>
        <w:gridCol w:w="1215"/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货物名称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品牌、型号规格、生产厂家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①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技术参数及性能配置要求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单项合价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（元）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③=①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1.交付使用时间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：15天内交付使用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第二轮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3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7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01"/>
        <w:gridCol w:w="2641"/>
        <w:gridCol w:w="1227"/>
        <w:gridCol w:w="1215"/>
        <w:gridCol w:w="1215"/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货物名称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品牌、型号规格、生产厂家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①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技术参数及性能配置要求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单项合价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（元）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③=①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1.交付使用时间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：15天内交付使用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  <w:t>附件3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  <w:t>商务技术响应表</w:t>
      </w:r>
    </w:p>
    <w:tbl>
      <w:tblPr>
        <w:tblStyle w:val="7"/>
        <w:tblpPr w:leftFromText="180" w:rightFromText="180" w:vertAnchor="text" w:horzAnchor="page" w:tblpX="1329" w:tblpY="334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2809"/>
        <w:gridCol w:w="2945"/>
        <w:gridCol w:w="14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 xml:space="preserve">                     </w:t>
            </w:r>
            <w:bookmarkStart w:id="0" w:name="_Toc254970588"/>
            <w:bookmarkStart w:id="1" w:name="_Toc405905876"/>
            <w:bookmarkStart w:id="2" w:name="_Toc173066401"/>
            <w:bookmarkStart w:id="3" w:name="_Toc254970729"/>
            <w:bookmarkStart w:id="4" w:name="_Toc17321190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序号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8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采购要求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5" w:name="_Toc173211902"/>
            <w:bookmarkStart w:id="6" w:name="_Toc405905878"/>
            <w:bookmarkStart w:id="7" w:name="_Toc254970590"/>
            <w:bookmarkStart w:id="8" w:name="_Toc173066403"/>
            <w:bookmarkStart w:id="9" w:name="_Toc254970731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具体响应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0" w:name="_Toc173066404"/>
            <w:bookmarkStart w:id="11" w:name="_Toc254970732"/>
            <w:bookmarkStart w:id="12" w:name="_Toc173211903"/>
            <w:bookmarkStart w:id="13" w:name="_Toc405905879"/>
            <w:bookmarkStart w:id="14" w:name="_Toc254970591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响应/偏离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5" w:name="_Toc405905880"/>
            <w:bookmarkStart w:id="16" w:name="_Toc173211904"/>
            <w:bookmarkStart w:id="17" w:name="_Toc173066405"/>
            <w:bookmarkStart w:id="18" w:name="_Toc254970733"/>
            <w:bookmarkStart w:id="19" w:name="_Toc254970592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说明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0" w:name="_Toc405905881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商务部分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1" w:name="_Toc405905882"/>
            <w:bookmarkStart w:id="22" w:name="_Toc254970734"/>
            <w:bookmarkStart w:id="23" w:name="_Toc173066406"/>
            <w:bookmarkStart w:id="24" w:name="_Toc173211905"/>
            <w:bookmarkStart w:id="25" w:name="_Toc254970593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交付使用时间及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地点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交付使用时间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：15天内交付使用。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付款方式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预付30%，验收合格后10个工作日内付完全款。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报价要求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报价包含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指定地点交付所投产品时所产生的一切费用总和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包括货款、标准附件、备品备件、专用工具、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人工费、服务费、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包装、运输、装卸、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检测、试验、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保险、税金、货到就位以及安装、调试、保修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成本、税金及利润，采购人不再另外支付其他费用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验收要求：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成交供应商须提供产品注册证、制造商营业执照、供货证明及产品合格证等相关材料。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其他要求：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供应商必须承诺自行提供本项目的所有服务内容，不得转让或转包、分包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技术部分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6" w:name="_Toc405905887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6"/>
          </w:p>
        </w:tc>
        <w:tc>
          <w:tcPr>
            <w:tcW w:w="280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一、技术参数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★1.通量：36/48人份样本检测。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★2.温控范围：30～65℃可调。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3.温度分辨率：1℃。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4.温度波动值：±0.5℃。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5.温度均匀性：1℃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★6.超温保护器：温度高于80℃时断开。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★7.定位准确性：≤1mm。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 8.摇动结构转速：50r/min。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9.整机工作噪音：≤75dB。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10.工作温度：5～40℃，相对湿度：≤80%。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11.工作电源：AC220V  50Hz  1000VA。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12.主机外型尺寸：约700mm×520mm×400mm大小。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二、性能特点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1.设备自动完成分子杂交、洗膜、孵育、显色、结果拍照与判读，可直接对接LIS系统。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★2.快速：全程实验2小时可自动完成。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★3.高通量：最高一次可完成36/48人份样本检测。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★4.准确可靠：杜绝手工操作的偏差。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★5.温控恒定：采用微电脑控温技术，保证反应区温度准确，均匀，恒定。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6.操作便捷：具备触屏操作，一键开始实验。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★7.防污染：每份标本独立反应，防止交叉污染。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8.平台通用：适用于HPV分型、地中海贫血基因检测、分枝杆菌菌种鉴定、遗传性耳聋基因检测等多个项目，可提供项目配套检测试剂。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</w:rPr>
        <w:t> </w:t>
      </w:r>
    </w:p>
    <w:p>
      <w:bookmarkStart w:id="27" w:name="_GoBack"/>
      <w:bookmarkEnd w:id="27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62C48"/>
    <w:rsid w:val="4016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2"/>
    <w:qFormat/>
    <w:uiPriority w:val="0"/>
    <w:rPr>
      <w:rFonts w:hint="eastAsia" w:ascii="宋体" w:hAnsi="Courier New" w:eastAsia="宋体" w:cs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9">
    <w:name w:val="Default"/>
    <w:basedOn w:val="6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北海魔鱼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2023-11-20T09:37:00Z</dcterms:created>
  <dc:creator>云和</dc:creator>
  <cp:lastModifiedBy>云和</cp:lastModifiedBy>
  <dcterms:modified xsi:type="dcterms:W3CDTF">2023-11-20T09:37:27Z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31AB1E116EC349AD87BFD1971107A55A</vt:lpwstr>
  </property>
</Properties>
</file>