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771"/>
        </w:tabs>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3 </w:t>
      </w:r>
      <w:r>
        <w:rPr>
          <w:rFonts w:hint="eastAsia" w:ascii="宋体" w:hAnsi="宋体" w:eastAsia="宋体" w:cs="宋体"/>
          <w:b/>
          <w:bCs/>
          <w:color w:val="auto"/>
          <w:szCs w:val="21"/>
          <w:highlight w:val="none"/>
          <w:shd w:val="clear" w:color="auto" w:fill="auto"/>
        </w:rPr>
        <w:t xml:space="preserve"> </w:t>
      </w: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lang w:val="en-US" w:eastAsia="zh-CN"/>
        </w:rPr>
        <w:t>商务</w:t>
      </w:r>
      <w:r>
        <w:rPr>
          <w:rFonts w:hint="eastAsia" w:ascii="宋体" w:hAnsi="宋体" w:eastAsia="宋体" w:cs="宋体"/>
          <w:b/>
          <w:color w:val="auto"/>
          <w:sz w:val="32"/>
          <w:szCs w:val="32"/>
          <w:highlight w:val="none"/>
          <w:shd w:val="clear" w:color="auto" w:fill="auto"/>
        </w:rPr>
        <w:t>技术服务偏离表</w:t>
      </w:r>
    </w:p>
    <w:p>
      <w:pPr>
        <w:spacing w:line="520" w:lineRule="exact"/>
        <w:rPr>
          <w:rFonts w:hint="eastAsia" w:ascii="仿宋_GB2312" w:hAnsi="仿宋_GB2312" w:eastAsia="仿宋_GB2312" w:cs="仿宋_GB2312"/>
          <w:sz w:val="32"/>
          <w:szCs w:val="32"/>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81"/>
        <w:gridCol w:w="2890"/>
        <w:gridCol w:w="2551"/>
        <w:gridCol w:w="1312"/>
        <w:gridCol w:w="9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0" w:name="_Toc254970729"/>
            <w:bookmarkStart w:id="1" w:name="_Toc301781611"/>
            <w:bookmarkStart w:id="2" w:name="_Toc383699906"/>
            <w:bookmarkStart w:id="3" w:name="_Toc173211900"/>
            <w:bookmarkStart w:id="4" w:name="_Toc373333689"/>
            <w:bookmarkStart w:id="5" w:name="_Toc254970588"/>
            <w:bookmarkStart w:id="6" w:name="_Toc295404981"/>
            <w:bookmarkStart w:id="7" w:name="_Toc173066401"/>
            <w:bookmarkStart w:id="8" w:name="_Toc297193185"/>
            <w:r>
              <w:rPr>
                <w:rFonts w:hint="eastAsia" w:ascii="宋体" w:hAnsi="宋体" w:eastAsia="宋体" w:cs="仿宋_GB2312"/>
                <w:b/>
                <w:bCs/>
                <w:kern w:val="2"/>
                <w:sz w:val="24"/>
                <w:szCs w:val="24"/>
              </w:rPr>
              <w:t>序号</w:t>
            </w:r>
            <w:bookmarkEnd w:id="0"/>
            <w:bookmarkEnd w:id="1"/>
            <w:bookmarkEnd w:id="2"/>
            <w:bookmarkEnd w:id="3"/>
            <w:bookmarkEnd w:id="4"/>
            <w:bookmarkEnd w:id="5"/>
            <w:bookmarkEnd w:id="6"/>
            <w:bookmarkEnd w:id="7"/>
            <w:bookmarkEnd w:id="8"/>
          </w:p>
        </w:tc>
        <w:tc>
          <w:tcPr>
            <w:tcW w:w="1696" w:type="pct"/>
            <w:tcBorders>
              <w:lef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r>
              <w:rPr>
                <w:rFonts w:hint="eastAsia" w:ascii="宋体" w:hAnsi="宋体" w:eastAsia="宋体" w:cs="仿宋_GB2312"/>
                <w:b/>
                <w:bCs/>
                <w:kern w:val="2"/>
                <w:sz w:val="24"/>
                <w:szCs w:val="24"/>
                <w:lang w:val="en-US" w:eastAsia="zh-CN"/>
              </w:rPr>
              <w:t>采购</w:t>
            </w:r>
            <w:r>
              <w:rPr>
                <w:rFonts w:hint="eastAsia" w:ascii="宋体" w:hAnsi="宋体" w:eastAsia="宋体" w:cs="仿宋_GB2312"/>
                <w:b/>
                <w:bCs/>
                <w:kern w:val="2"/>
                <w:sz w:val="24"/>
                <w:szCs w:val="24"/>
              </w:rPr>
              <w:t>文件技术要求</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9" w:name="_Toc301781613"/>
            <w:bookmarkStart w:id="10" w:name="_Toc295404983"/>
            <w:bookmarkStart w:id="11" w:name="_Toc383699908"/>
            <w:bookmarkStart w:id="12" w:name="_Toc254970590"/>
            <w:bookmarkStart w:id="13" w:name="_Toc173066403"/>
            <w:bookmarkStart w:id="14" w:name="_Toc297193187"/>
            <w:bookmarkStart w:id="15" w:name="_Toc373333691"/>
            <w:bookmarkStart w:id="16" w:name="_Toc254970731"/>
            <w:bookmarkStart w:id="17" w:name="_Toc173211902"/>
            <w:r>
              <w:rPr>
                <w:rFonts w:hint="eastAsia" w:ascii="宋体" w:hAnsi="宋体" w:eastAsia="宋体" w:cs="仿宋_GB2312"/>
                <w:b/>
                <w:bCs/>
                <w:kern w:val="2"/>
                <w:sz w:val="24"/>
                <w:szCs w:val="24"/>
              </w:rPr>
              <w:t>竞标响应</w:t>
            </w:r>
            <w:bookmarkEnd w:id="9"/>
            <w:bookmarkEnd w:id="10"/>
            <w:bookmarkEnd w:id="11"/>
            <w:bookmarkEnd w:id="12"/>
            <w:bookmarkEnd w:id="13"/>
            <w:bookmarkEnd w:id="14"/>
            <w:bookmarkEnd w:id="15"/>
            <w:bookmarkEnd w:id="16"/>
            <w:bookmarkEnd w:id="17"/>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rPr>
            </w:pPr>
            <w:bookmarkStart w:id="18" w:name="_Toc173066404"/>
            <w:bookmarkStart w:id="19" w:name="_Toc383699909"/>
            <w:bookmarkStart w:id="20" w:name="_Toc254970732"/>
            <w:bookmarkStart w:id="21" w:name="_Toc173211903"/>
            <w:bookmarkStart w:id="22" w:name="_Toc295404984"/>
            <w:bookmarkStart w:id="23" w:name="_Toc297193188"/>
            <w:bookmarkStart w:id="24" w:name="_Toc301781614"/>
            <w:bookmarkStart w:id="25" w:name="_Toc254970591"/>
            <w:bookmarkStart w:id="26" w:name="_Toc373333692"/>
            <w:r>
              <w:rPr>
                <w:rFonts w:hint="eastAsia" w:ascii="宋体" w:hAnsi="宋体" w:eastAsia="宋体" w:cs="仿宋_GB2312"/>
                <w:b/>
                <w:bCs/>
                <w:kern w:val="2"/>
                <w:sz w:val="24"/>
                <w:szCs w:val="24"/>
                <w:lang w:val="en-US" w:eastAsia="zh-CN"/>
              </w:rPr>
              <w:t>响应/</w:t>
            </w:r>
            <w:r>
              <w:rPr>
                <w:rFonts w:hint="eastAsia" w:ascii="宋体" w:hAnsi="宋体" w:eastAsia="宋体" w:cs="仿宋_GB2312"/>
                <w:b/>
                <w:bCs/>
                <w:kern w:val="2"/>
                <w:sz w:val="24"/>
                <w:szCs w:val="24"/>
              </w:rPr>
              <w:t>偏离</w:t>
            </w:r>
            <w:bookmarkEnd w:id="18"/>
            <w:bookmarkEnd w:id="19"/>
            <w:bookmarkEnd w:id="20"/>
            <w:bookmarkEnd w:id="21"/>
            <w:bookmarkEnd w:id="22"/>
            <w:bookmarkEnd w:id="23"/>
            <w:bookmarkEnd w:id="24"/>
            <w:bookmarkEnd w:id="25"/>
            <w:bookmarkEnd w:id="26"/>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b/>
                <w:bCs/>
                <w:kern w:val="2"/>
                <w:sz w:val="24"/>
                <w:szCs w:val="24"/>
                <w:lang w:val="en-US" w:eastAsia="zh-CN"/>
              </w:rPr>
            </w:pPr>
            <w:r>
              <w:rPr>
                <w:rFonts w:hint="eastAsia" w:ascii="宋体" w:hAnsi="宋体" w:eastAsia="宋体" w:cs="仿宋_GB2312"/>
                <w:b/>
                <w:bCs/>
                <w:kern w:val="2"/>
                <w:sz w:val="24"/>
                <w:szCs w:val="24"/>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00" w:type="pct"/>
            <w:gridSpan w:val="5"/>
            <w:noWrap w:val="0"/>
            <w:vAlign w:val="center"/>
          </w:tcPr>
          <w:p>
            <w:pPr>
              <w:pStyle w:val="9"/>
              <w:spacing w:line="360" w:lineRule="auto"/>
              <w:ind w:firstLine="0" w:firstLineChars="0"/>
              <w:contextualSpacing/>
              <w:jc w:val="left"/>
              <w:rPr>
                <w:rFonts w:hint="eastAsia" w:ascii="宋体" w:hAnsi="宋体" w:eastAsia="宋体" w:cs="仿宋_GB2312"/>
                <w:kern w:val="2"/>
                <w:sz w:val="24"/>
                <w:szCs w:val="24"/>
                <w:lang w:val="en-US" w:eastAsia="zh-CN"/>
              </w:rPr>
            </w:pPr>
            <w:bookmarkStart w:id="27" w:name="_Toc297193190"/>
            <w:bookmarkStart w:id="28" w:name="_Toc173211905"/>
            <w:bookmarkStart w:id="29" w:name="_Toc254970734"/>
            <w:bookmarkStart w:id="30" w:name="_Toc373333694"/>
            <w:bookmarkStart w:id="31" w:name="_Toc295404986"/>
            <w:bookmarkStart w:id="32" w:name="_Toc383699911"/>
            <w:bookmarkStart w:id="33" w:name="_Toc254970593"/>
            <w:bookmarkStart w:id="34" w:name="_Toc301781616"/>
            <w:bookmarkStart w:id="35" w:name="_Toc173066406"/>
            <w:r>
              <w:rPr>
                <w:rFonts w:hint="eastAsia" w:ascii="宋体" w:hAnsi="宋体" w:eastAsia="宋体" w:cs="仿宋_GB2312"/>
                <w:b/>
                <w:bCs/>
                <w:kern w:val="2"/>
                <w:sz w:val="24"/>
                <w:szCs w:val="24"/>
                <w:lang w:val="en-US" w:eastAsia="zh-CN"/>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r>
              <w:rPr>
                <w:rFonts w:hint="eastAsia" w:ascii="宋体" w:hAnsi="宋体" w:eastAsia="宋体" w:cs="仿宋_GB2312"/>
                <w:kern w:val="2"/>
                <w:sz w:val="24"/>
                <w:szCs w:val="24"/>
              </w:rPr>
              <w:t>1</w:t>
            </w:r>
            <w:bookmarkEnd w:id="27"/>
            <w:bookmarkEnd w:id="28"/>
            <w:bookmarkEnd w:id="29"/>
            <w:bookmarkEnd w:id="30"/>
            <w:bookmarkEnd w:id="31"/>
            <w:bookmarkEnd w:id="32"/>
            <w:bookmarkEnd w:id="33"/>
            <w:bookmarkEnd w:id="34"/>
            <w:bookmarkEnd w:id="35"/>
          </w:p>
        </w:tc>
        <w:tc>
          <w:tcPr>
            <w:tcW w:w="1696" w:type="pct"/>
            <w:tcBorders>
              <w:left w:val="single" w:color="auto" w:sz="4" w:space="0"/>
            </w:tcBorders>
            <w:noWrap w:val="0"/>
            <w:vAlign w:val="center"/>
          </w:tcPr>
          <w:p>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（一）维保服务范围</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北海市</w:t>
            </w:r>
            <w:r>
              <w:rPr>
                <w:rFonts w:hint="eastAsia" w:ascii="宋体" w:hAnsi="宋体" w:cs="宋体"/>
                <w:color w:val="auto"/>
                <w:sz w:val="21"/>
                <w:szCs w:val="21"/>
                <w:highlight w:val="none"/>
                <w:lang w:val="en-US" w:eastAsia="zh-CN"/>
              </w:rPr>
              <w:t>中医</w:t>
            </w:r>
            <w:r>
              <w:rPr>
                <w:rFonts w:hint="eastAsia" w:ascii="宋体" w:hAnsi="宋体" w:eastAsia="宋体" w:cs="宋体"/>
                <w:color w:val="auto"/>
                <w:sz w:val="21"/>
                <w:szCs w:val="21"/>
                <w:highlight w:val="none"/>
              </w:rPr>
              <w:t>医院</w:t>
            </w:r>
            <w:r>
              <w:rPr>
                <w:rFonts w:hint="eastAsia" w:ascii="宋体" w:hAnsi="宋体" w:cs="宋体"/>
                <w:color w:val="auto"/>
                <w:sz w:val="21"/>
                <w:szCs w:val="21"/>
                <w:highlight w:val="none"/>
                <w:lang w:val="en-US" w:eastAsia="zh-CN"/>
              </w:rPr>
              <w:t>综合楼</w:t>
            </w:r>
            <w:r>
              <w:rPr>
                <w:rFonts w:hint="eastAsia" w:ascii="宋体" w:hAnsi="宋体" w:eastAsia="宋体" w:cs="宋体"/>
                <w:color w:val="auto"/>
                <w:sz w:val="21"/>
                <w:szCs w:val="21"/>
                <w:highlight w:val="none"/>
              </w:rPr>
              <w:t>消防设施设备维护保养及定期巡检、故障与应急处理、日常维修及配件更换，保证设备的正常运行。具体包含：</w:t>
            </w:r>
          </w:p>
          <w:p>
            <w:pPr>
              <w:spacing w:line="360" w:lineRule="exact"/>
              <w:ind w:firstLine="420" w:firstLineChars="200"/>
              <w:rPr>
                <w:rFonts w:hint="eastAsia" w:ascii="宋体" w:hAnsi="宋体" w:eastAsia="宋体" w:cs="仿宋_GB2312"/>
                <w:kern w:val="2"/>
                <w:sz w:val="24"/>
                <w:szCs w:val="24"/>
              </w:rPr>
            </w:pPr>
            <w:r>
              <w:rPr>
                <w:rFonts w:hint="eastAsia" w:ascii="宋体" w:hAnsi="宋体" w:eastAsia="宋体" w:cs="宋体"/>
                <w:color w:val="auto"/>
                <w:sz w:val="21"/>
                <w:szCs w:val="21"/>
                <w:highlight w:val="none"/>
              </w:rPr>
              <w:t>消防水源、应急照明、安全疏散系统、消防广播及消防电话系统、火灾自动报警及联动控制系统、自动喷淋灭火系统、消火栓灭火系统、防火卷帘系统、防火门系统、灭火器、气体报警及联动控制系统、气体灭火系统等的故障维修维护、配件更换服务（更换零配件由采购人提供）；</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36" w:name="_Toc295404987"/>
            <w:bookmarkStart w:id="37" w:name="_Toc373333695"/>
            <w:bookmarkStart w:id="38" w:name="_Toc383699912"/>
            <w:bookmarkStart w:id="39" w:name="_Toc254970594"/>
            <w:bookmarkStart w:id="40" w:name="_Toc173066407"/>
            <w:bookmarkStart w:id="41" w:name="_Toc301781617"/>
            <w:bookmarkStart w:id="42" w:name="_Toc254970735"/>
            <w:bookmarkStart w:id="43" w:name="_Toc173211906"/>
            <w:bookmarkStart w:id="44" w:name="_Toc297193191"/>
            <w:r>
              <w:rPr>
                <w:rFonts w:hint="eastAsia" w:ascii="宋体" w:hAnsi="宋体" w:eastAsia="宋体" w:cs="仿宋_GB2312"/>
                <w:kern w:val="2"/>
                <w:sz w:val="24"/>
                <w:szCs w:val="24"/>
              </w:rPr>
              <w:t>2</w:t>
            </w:r>
            <w:bookmarkEnd w:id="36"/>
            <w:bookmarkEnd w:id="37"/>
            <w:bookmarkEnd w:id="38"/>
            <w:bookmarkEnd w:id="39"/>
            <w:bookmarkEnd w:id="40"/>
            <w:bookmarkEnd w:id="41"/>
            <w:bookmarkEnd w:id="42"/>
            <w:bookmarkEnd w:id="43"/>
            <w:bookmarkEnd w:id="44"/>
          </w:p>
        </w:tc>
        <w:tc>
          <w:tcPr>
            <w:tcW w:w="1696" w:type="pct"/>
            <w:tcBorders>
              <w:left w:val="single" w:color="auto" w:sz="4" w:space="0"/>
            </w:tcBorders>
            <w:noWrap w:val="0"/>
            <w:vAlign w:val="center"/>
          </w:tcPr>
          <w:p>
            <w:pPr>
              <w:spacing w:line="360" w:lineRule="exact"/>
              <w:rPr>
                <w:rFonts w:hint="eastAsia" w:ascii="宋体" w:hAnsi="宋体" w:eastAsia="宋体" w:cs="仿宋_GB2312"/>
                <w:kern w:val="2"/>
                <w:sz w:val="24"/>
                <w:szCs w:val="24"/>
              </w:rPr>
            </w:pPr>
            <w:r>
              <w:rPr>
                <w:rFonts w:hint="eastAsia" w:ascii="宋体" w:hAnsi="宋体" w:eastAsia="宋体" w:cs="宋体"/>
                <w:b/>
                <w:bCs/>
                <w:color w:val="auto"/>
                <w:sz w:val="21"/>
                <w:szCs w:val="21"/>
                <w:highlight w:val="none"/>
              </w:rPr>
              <w:t>（二）维护设备概况及要求</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45" w:name="_Toc373333696"/>
            <w:bookmarkStart w:id="46" w:name="_Toc173211907"/>
            <w:bookmarkStart w:id="47" w:name="_Toc295404988"/>
            <w:bookmarkStart w:id="48" w:name="_Toc383699913"/>
            <w:bookmarkStart w:id="49" w:name="_Toc301781618"/>
            <w:bookmarkStart w:id="50" w:name="_Toc254970736"/>
            <w:bookmarkStart w:id="51" w:name="_Toc297193192"/>
            <w:bookmarkStart w:id="52" w:name="_Toc173066408"/>
            <w:bookmarkStart w:id="53" w:name="_Toc254970595"/>
            <w:r>
              <w:rPr>
                <w:rFonts w:hint="eastAsia" w:ascii="宋体" w:hAnsi="宋体" w:eastAsia="宋体" w:cs="仿宋_GB2312"/>
                <w:kern w:val="2"/>
                <w:sz w:val="24"/>
                <w:szCs w:val="24"/>
              </w:rPr>
              <w:t>3</w:t>
            </w:r>
            <w:bookmarkEnd w:id="45"/>
            <w:bookmarkEnd w:id="46"/>
            <w:bookmarkEnd w:id="47"/>
            <w:bookmarkEnd w:id="48"/>
            <w:bookmarkEnd w:id="49"/>
            <w:bookmarkEnd w:id="50"/>
            <w:bookmarkEnd w:id="51"/>
            <w:bookmarkEnd w:id="52"/>
            <w:bookmarkEnd w:id="53"/>
          </w:p>
        </w:tc>
        <w:tc>
          <w:tcPr>
            <w:tcW w:w="1696" w:type="pct"/>
            <w:tcBorders>
              <w:left w:val="single" w:color="auto" w:sz="4" w:space="0"/>
            </w:tcBorders>
            <w:noWrap w:val="0"/>
            <w:vAlign w:val="center"/>
          </w:tcPr>
          <w:p>
            <w:pPr>
              <w:numPr>
                <w:ilvl w:val="0"/>
                <w:numId w:val="0"/>
              </w:numPr>
              <w:spacing w:line="360" w:lineRule="exact"/>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1.消火栓系统：</w:t>
            </w:r>
          </w:p>
          <w:p>
            <w:pPr>
              <w:numPr>
                <w:ilvl w:val="0"/>
                <w:numId w:val="0"/>
              </w:numPr>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（1）每月检查消防泵工作环境及消防泵、稳压设备、电源控制柜、管网、阀门、水泵接合器、室内外消火栓、储水设施等是否处于正常完好的状态。试验内燃机驱动的消防泵能否正常工作。</w:t>
            </w:r>
          </w:p>
          <w:p>
            <w:pPr>
              <w:pStyle w:val="10"/>
              <w:spacing w:line="360" w:lineRule="exact"/>
              <w:ind w:firstLine="210" w:firstLineChars="1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（2）每月检查下列功能：</w:t>
            </w:r>
          </w:p>
          <w:p>
            <w:pPr>
              <w:pStyle w:val="1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①启动消防泵，当消防水泵为自动控制启动时，应模拟自动控制条件进行启动。设备用泵时，应同时试验主、备泵的切换功能。</w:t>
            </w:r>
          </w:p>
          <w:p>
            <w:pPr>
              <w:pStyle w:val="1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②试验远距离启泵按钮启动消防泵，抽检数量不得少于总数的20%。</w:t>
            </w:r>
          </w:p>
          <w:p>
            <w:pPr>
              <w:pStyle w:val="9"/>
              <w:spacing w:line="360" w:lineRule="auto"/>
              <w:ind w:firstLine="0" w:firstLineChars="0"/>
              <w:contextualSpacing/>
              <w:jc w:val="center"/>
              <w:rPr>
                <w:rFonts w:hint="default" w:ascii="宋体" w:hAnsi="宋体" w:eastAsia="宋体" w:cs="仿宋_GB2312"/>
                <w:kern w:val="2"/>
                <w:sz w:val="24"/>
                <w:szCs w:val="24"/>
                <w:lang w:val="en-US" w:eastAsia="zh-CN"/>
              </w:rPr>
            </w:pPr>
            <w:r>
              <w:rPr>
                <w:rFonts w:hint="eastAsia" w:ascii="宋体" w:hAnsi="宋体" w:eastAsia="宋体" w:cs="宋体"/>
                <w:bCs/>
                <w:color w:val="auto"/>
                <w:sz w:val="21"/>
                <w:szCs w:val="21"/>
                <w:highlight w:val="none"/>
              </w:rPr>
              <w:t>③屋顶消火栓出水，检查管网压力和水质。</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54" w:name="_Toc254970596"/>
            <w:bookmarkStart w:id="55" w:name="_Toc301781619"/>
            <w:bookmarkStart w:id="56" w:name="_Toc373333697"/>
            <w:bookmarkStart w:id="57" w:name="_Toc254970737"/>
            <w:bookmarkStart w:id="58" w:name="_Toc173066409"/>
            <w:bookmarkStart w:id="59" w:name="_Toc297193193"/>
            <w:bookmarkStart w:id="60" w:name="_Toc295404989"/>
            <w:bookmarkStart w:id="61" w:name="_Toc383699914"/>
            <w:bookmarkStart w:id="62" w:name="_Toc173211908"/>
            <w:r>
              <w:rPr>
                <w:rFonts w:hint="eastAsia" w:ascii="宋体" w:hAnsi="宋体" w:eastAsia="宋体" w:cs="仿宋_GB2312"/>
                <w:kern w:val="2"/>
                <w:sz w:val="24"/>
                <w:szCs w:val="24"/>
              </w:rPr>
              <w:t>4</w:t>
            </w:r>
            <w:bookmarkEnd w:id="54"/>
            <w:bookmarkEnd w:id="55"/>
            <w:bookmarkEnd w:id="56"/>
            <w:bookmarkEnd w:id="57"/>
            <w:bookmarkEnd w:id="58"/>
            <w:bookmarkEnd w:id="59"/>
            <w:bookmarkEnd w:id="60"/>
            <w:bookmarkEnd w:id="61"/>
            <w:bookmarkEnd w:id="62"/>
          </w:p>
        </w:tc>
        <w:tc>
          <w:tcPr>
            <w:tcW w:w="1696" w:type="pct"/>
            <w:tcBorders>
              <w:left w:val="single" w:color="auto" w:sz="4" w:space="0"/>
            </w:tcBorders>
            <w:noWrap w:val="0"/>
            <w:vAlign w:val="center"/>
          </w:tcPr>
          <w:p>
            <w:pPr>
              <w:pStyle w:val="9"/>
              <w:numPr>
                <w:ilvl w:val="0"/>
                <w:numId w:val="1"/>
              </w:numPr>
              <w:spacing w:line="360" w:lineRule="auto"/>
              <w:ind w:firstLine="0" w:firstLineChars="0"/>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自动喷淋灭火系统</w:t>
            </w:r>
            <w:r>
              <w:rPr>
                <w:rFonts w:hint="eastAsia" w:ascii="宋体" w:hAnsi="宋体" w:eastAsia="宋体" w:cs="宋体"/>
                <w:color w:val="auto"/>
                <w:sz w:val="21"/>
                <w:szCs w:val="21"/>
                <w:highlight w:val="none"/>
                <w:lang w:eastAsia="zh-CN"/>
              </w:rPr>
              <w:t>：</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（1）每月检查消防泵工作环境及消防泵、稳压设备、电源控制柜、湿式报警阀、管网阀门、喷头、水泵接合器、储水设施等是否处于正常完好状态。试验内燃机驱动的消防泵能否正常工作。</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（2）每月检查下列功能：</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①启动消防泵，当消防泵为自动控制启动时，应模拟自动控制的条件进行启动。设备用泵时，应同时试验主、备泵的切换功能。</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②利用报警阀上的放水阀试验系统的供水情况。</w:t>
            </w:r>
          </w:p>
          <w:p>
            <w:pPr>
              <w:pStyle w:val="9"/>
              <w:numPr>
                <w:ilvl w:val="0"/>
                <w:numId w:val="0"/>
              </w:numPr>
              <w:spacing w:line="360" w:lineRule="auto"/>
              <w:contextualSpacing/>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③利用末端放水装置放水，验证水流指示器和压力开关的报警功能、自动启泵功能和信号显示，抽查数量不少于总数的20%。</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bookmarkStart w:id="63" w:name="_Toc295404990"/>
            <w:bookmarkStart w:id="64" w:name="_Toc383699915"/>
            <w:bookmarkStart w:id="65" w:name="_Toc301781620"/>
            <w:bookmarkStart w:id="66" w:name="_Toc173066410"/>
            <w:bookmarkStart w:id="67" w:name="_Toc297193194"/>
            <w:bookmarkStart w:id="68" w:name="_Toc173211909"/>
            <w:bookmarkStart w:id="69" w:name="_Toc254970738"/>
            <w:bookmarkStart w:id="70" w:name="_Toc373333698"/>
            <w:bookmarkStart w:id="71" w:name="_Toc254970597"/>
            <w:r>
              <w:rPr>
                <w:rFonts w:hint="eastAsia" w:ascii="宋体" w:hAnsi="宋体" w:eastAsia="宋体" w:cs="仿宋_GB2312"/>
                <w:kern w:val="2"/>
                <w:sz w:val="24"/>
                <w:szCs w:val="24"/>
              </w:rPr>
              <w:t>5</w:t>
            </w:r>
            <w:bookmarkEnd w:id="63"/>
            <w:bookmarkEnd w:id="64"/>
            <w:bookmarkEnd w:id="65"/>
            <w:bookmarkEnd w:id="66"/>
            <w:bookmarkEnd w:id="67"/>
            <w:bookmarkEnd w:id="68"/>
            <w:bookmarkEnd w:id="69"/>
            <w:bookmarkEnd w:id="70"/>
            <w:bookmarkEnd w:id="71"/>
          </w:p>
        </w:tc>
        <w:tc>
          <w:tcPr>
            <w:tcW w:w="1696" w:type="pct"/>
            <w:tcBorders>
              <w:left w:val="single" w:color="auto" w:sz="4" w:space="0"/>
            </w:tcBorders>
            <w:noWrap w:val="0"/>
            <w:vAlign w:val="center"/>
          </w:tcPr>
          <w:p>
            <w:pPr>
              <w:pStyle w:val="10"/>
              <w:numPr>
                <w:ilvl w:val="0"/>
                <w:numId w:val="2"/>
              </w:numPr>
              <w:spacing w:line="360" w:lineRule="exact"/>
              <w:jc w:val="left"/>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火灾自动报警系统</w:t>
            </w:r>
            <w:r>
              <w:rPr>
                <w:rFonts w:hint="eastAsia" w:hAnsi="宋体" w:cs="宋体"/>
                <w:color w:val="auto"/>
                <w:sz w:val="21"/>
                <w:szCs w:val="21"/>
                <w:highlight w:val="none"/>
                <w:lang w:eastAsia="zh-CN"/>
              </w:rPr>
              <w:t>：</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（1）每月检查消防控制室或消防值班工作环境以及火灾报警控制器、联动控制器、层显（或区域控制器）、手动报警按钮等是否处于正常完好状态。</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（2）每季度检查下列功能：</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①采用检测设备分期分批试验探测器的工作情况，检测数量不少于总数的30%。</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②试验手动报警按钮报警功能，抽检数量不少于总数的30%。</w:t>
            </w:r>
          </w:p>
          <w:p>
            <w:pPr>
              <w:pStyle w:val="7"/>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③对主机备用电源进行充放电试验。</w:t>
            </w:r>
          </w:p>
          <w:p>
            <w:pPr>
              <w:pStyle w:val="7"/>
              <w:numPr>
                <w:ilvl w:val="0"/>
                <w:numId w:val="0"/>
              </w:numPr>
              <w:rPr>
                <w:rFonts w:hint="eastAsia"/>
                <w:lang w:val="en-US" w:eastAsia="zh-CN"/>
              </w:rPr>
            </w:pPr>
            <w:r>
              <w:rPr>
                <w:rFonts w:hint="eastAsia" w:ascii="宋体" w:hAnsi="宋体" w:eastAsia="宋体" w:cs="宋体"/>
                <w:color w:val="auto"/>
                <w:sz w:val="21"/>
                <w:szCs w:val="21"/>
                <w:highlight w:val="none"/>
              </w:rPr>
              <w:t xml:space="preserve">④自动或手动试验相关消防联动控制设备的控制和显示功能。 </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696" w:type="pct"/>
            <w:tcBorders>
              <w:left w:val="single" w:color="auto" w:sz="4" w:space="0"/>
            </w:tcBorders>
            <w:noWrap w:val="0"/>
            <w:vAlign w:val="center"/>
          </w:tcPr>
          <w:p>
            <w:pPr>
              <w:pStyle w:val="7"/>
              <w:numPr>
                <w:ilvl w:val="0"/>
                <w:numId w:val="0"/>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气体灭火系统</w:t>
            </w:r>
            <w:r>
              <w:rPr>
                <w:rFonts w:hint="eastAsia" w:ascii="宋体" w:hAnsi="宋体" w:eastAsia="宋体" w:cs="宋体"/>
                <w:color w:val="auto"/>
                <w:sz w:val="21"/>
                <w:szCs w:val="21"/>
                <w:highlight w:val="none"/>
                <w:lang w:eastAsia="zh-CN"/>
              </w:rPr>
              <w:t>：</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（1）每月检查贮瓶间及防护区的工作环境以及贮气瓶、选择阀、液体单向阀、高压软管、集流管、阀驱动装置、管网、喷嘴、紧急启动按钮、声光报警装置等是否处于正常完好状态。</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（2）每半年检查下列功能：</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①对灭火器剂贮存器进行秤重检查，灭火剂净重不得小于设计量的95%。</w:t>
            </w:r>
          </w:p>
          <w:p>
            <w:pPr>
              <w:pStyle w:val="7"/>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②对每个防护区进行一次模拟自动启动试验，如有问题，则应对相关防护区进行一次模拟喷气试验。</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7</w:t>
            </w:r>
          </w:p>
        </w:tc>
        <w:tc>
          <w:tcPr>
            <w:tcW w:w="1696" w:type="pct"/>
            <w:tcBorders>
              <w:left w:val="single" w:color="auto" w:sz="4" w:space="0"/>
            </w:tcBorders>
            <w:noWrap w:val="0"/>
            <w:vAlign w:val="center"/>
          </w:tcPr>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防火卷帘系统及木质防火门系统</w:t>
            </w:r>
            <w:r>
              <w:rPr>
                <w:rFonts w:hint="eastAsia" w:hAnsi="宋体" w:cs="宋体"/>
                <w:color w:val="auto"/>
                <w:sz w:val="21"/>
                <w:szCs w:val="21"/>
                <w:highlight w:val="none"/>
                <w:lang w:eastAsia="zh-CN"/>
              </w:rPr>
              <w:t>：</w:t>
            </w:r>
          </w:p>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（1）每月检查防火门、防火卷帘门周围有无影响门正常启闭的障碍物、门能否处于正常启、闭状态，门的附件是否齐全完好。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（2）每季度检查下列功能：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①试验自动方式启动防火门、防火卷帘门。抽检数量不少于总数的30%。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②用手动接钮启动防火卷帘门。抽检数不少于总数的30%。</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8</w:t>
            </w:r>
          </w:p>
        </w:tc>
        <w:tc>
          <w:tcPr>
            <w:tcW w:w="1696" w:type="pct"/>
            <w:tcBorders>
              <w:left w:val="single" w:color="auto" w:sz="4" w:space="0"/>
            </w:tcBorders>
            <w:noWrap w:val="0"/>
            <w:vAlign w:val="center"/>
          </w:tcPr>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应急照明、安全疏散、电梯迫降系统</w:t>
            </w:r>
            <w:r>
              <w:rPr>
                <w:rFonts w:hint="eastAsia" w:hAnsi="宋体" w:cs="宋体"/>
                <w:color w:val="auto"/>
                <w:sz w:val="21"/>
                <w:szCs w:val="21"/>
                <w:highlight w:val="none"/>
                <w:lang w:eastAsia="zh-CN"/>
              </w:rPr>
              <w:t>：</w:t>
            </w:r>
          </w:p>
          <w:p>
            <w:pPr>
              <w:pStyle w:val="10"/>
              <w:numPr>
                <w:ilvl w:val="0"/>
                <w:numId w:val="0"/>
              </w:numPr>
              <w:spacing w:line="360" w:lineRule="exact"/>
              <w:ind w:leftChars="0"/>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（1）每月检查安全出口、疏散通道、重要场所的应急照明和疏散指示标志是否处于正常完好状态。</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（2）每月试验应急照明和疏散指示灯的工作照度和疏散照度。抽检数量不少于总数的20%。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（3）每月检查消防电梯迫降按钮，每季度试验消防电梯的紧急迫降功能。</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9</w:t>
            </w:r>
          </w:p>
        </w:tc>
        <w:tc>
          <w:tcPr>
            <w:tcW w:w="1696" w:type="pct"/>
            <w:tcBorders>
              <w:left w:val="single" w:color="auto" w:sz="4" w:space="0"/>
            </w:tcBorders>
            <w:noWrap w:val="0"/>
            <w:vAlign w:val="center"/>
          </w:tcPr>
          <w:p>
            <w:pPr>
              <w:pStyle w:val="10"/>
              <w:numPr>
                <w:ilvl w:val="0"/>
                <w:numId w:val="3"/>
              </w:numPr>
              <w:spacing w:line="360" w:lineRule="exact"/>
              <w:jc w:val="left"/>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消防广播及消防电话系统</w:t>
            </w:r>
            <w:r>
              <w:rPr>
                <w:rFonts w:hint="eastAsia" w:hAnsi="宋体" w:cs="宋体"/>
                <w:color w:val="auto"/>
                <w:sz w:val="21"/>
                <w:szCs w:val="21"/>
                <w:highlight w:val="none"/>
                <w:lang w:eastAsia="zh-CN"/>
              </w:rPr>
              <w:t>：</w:t>
            </w:r>
          </w:p>
          <w:p>
            <w:pPr>
              <w:pStyle w:val="10"/>
              <w:numPr>
                <w:ilvl w:val="0"/>
                <w:numId w:val="0"/>
              </w:numPr>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（1）每月检查电话插孔、重要场所的对讲电话、播音设备、扬声器是否处于正常完好状态。</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（2）每季度检查下列功能：</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①试验电话插孔和对讲电话的通话质量，抽检数量不少于总数的30%。</w:t>
            </w:r>
          </w:p>
          <w:p>
            <w:pPr>
              <w:pStyle w:val="10"/>
              <w:spacing w:line="360" w:lineRule="exact"/>
              <w:jc w:val="left"/>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②试验选层广播。抽检数量不少于总数的30%。</w:t>
            </w:r>
          </w:p>
          <w:p>
            <w:pPr>
              <w:pStyle w:val="10"/>
              <w:spacing w:line="360" w:lineRule="exact"/>
              <w:jc w:val="left"/>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③试验从背景音乐状态下强切至事故应急广播状态的功能。</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10</w:t>
            </w:r>
          </w:p>
        </w:tc>
        <w:tc>
          <w:tcPr>
            <w:tcW w:w="1696" w:type="pct"/>
            <w:tcBorders>
              <w:left w:val="single" w:color="auto" w:sz="4" w:space="0"/>
            </w:tcBorders>
            <w:noWrap w:val="0"/>
            <w:vAlign w:val="center"/>
          </w:tcPr>
          <w:p>
            <w:pPr>
              <w:pStyle w:val="9"/>
              <w:spacing w:line="360" w:lineRule="auto"/>
              <w:ind w:firstLine="0" w:firstLineChars="0"/>
              <w:contextualSpacing/>
              <w:jc w:val="both"/>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（三）维保目的</w:t>
            </w:r>
          </w:p>
          <w:p>
            <w:pPr>
              <w:pStyle w:val="9"/>
              <w:spacing w:line="360" w:lineRule="auto"/>
              <w:ind w:firstLine="0" w:firstLineChars="0"/>
              <w:contextualSpacing/>
              <w:jc w:val="both"/>
              <w:rPr>
                <w:rFonts w:hint="eastAsia" w:ascii="宋体" w:hAnsi="宋体" w:eastAsia="宋体" w:cs="仿宋_GB2312"/>
                <w:kern w:val="2"/>
                <w:sz w:val="24"/>
                <w:szCs w:val="24"/>
                <w:lang w:val="en-US" w:eastAsia="zh-CN"/>
              </w:rPr>
            </w:pPr>
            <w:r>
              <w:rPr>
                <w:rFonts w:hint="eastAsia" w:ascii="宋体" w:hAnsi="宋体" w:eastAsia="宋体" w:cs="宋体"/>
                <w:color w:val="auto"/>
                <w:kern w:val="2"/>
                <w:sz w:val="21"/>
                <w:szCs w:val="21"/>
                <w:highlight w:val="none"/>
                <w:lang w:val="en-US" w:eastAsia="zh-CN" w:bidi="ar-SA"/>
              </w:rPr>
              <w:t>保障消防设施设备完好有效，使其处于最佳工作状态，保证在发生意外状况时能立即发挥其作用，将人员及财产损失降至最低。</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11</w:t>
            </w:r>
          </w:p>
        </w:tc>
        <w:tc>
          <w:tcPr>
            <w:tcW w:w="1696" w:type="pct"/>
            <w:tcBorders>
              <w:left w:val="single" w:color="auto" w:sz="4" w:space="0"/>
            </w:tcBorders>
            <w:noWrap w:val="0"/>
            <w:vAlign w:val="center"/>
          </w:tcPr>
          <w:p>
            <w:pPr>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（四）维保执行的技术规范：</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1.《中华人民共和国消防法》 (2021年4月29日修订）</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2.《建筑消防设施检测技术规程》 （GA503-2004)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3.广西建筑消防设施维护保养操作规程（DB45/T2473-2022）</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4.广西壮族自治区公安消防总队（</w:t>
            </w:r>
            <w:r>
              <w:rPr>
                <w:rFonts w:hint="eastAsia" w:hAnsi="宋体" w:cs="宋体"/>
                <w:color w:val="auto"/>
                <w:sz w:val="21"/>
                <w:szCs w:val="21"/>
                <w:highlight w:val="none"/>
                <w:lang w:val="en-US" w:eastAsia="zh-CN"/>
              </w:rPr>
              <w:t>桂</w:t>
            </w:r>
            <w:r>
              <w:rPr>
                <w:rFonts w:hint="eastAsia" w:ascii="宋体" w:hAnsi="宋体" w:eastAsia="宋体" w:cs="宋体"/>
                <w:color w:val="auto"/>
                <w:sz w:val="21"/>
                <w:szCs w:val="21"/>
                <w:highlight w:val="none"/>
              </w:rPr>
              <w:t>公消（2008)452号）文件</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5.广西建筑消防设施维护保养企业管理规定</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6.建筑消防设施维护保养企业行业自律公约</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7.《建筑消防设施的维护管理》（GB25201-2010)</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8.《高层民用建筑设计防火规范》（ GB50045-95 2005 版）</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9.《建筑设计防火规范》【GB50016-2014（2018年版）】</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10.《火灾自动报警系统设计规范》（GB50116-2013）</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11.《火灾自动报警系统施工及验收规范》（GB50166-2019）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12.《自动喷水灭火系统设计规范》（GB50084-2017）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13.《自动喷水灭火系统施工及验收规范》（GB50261-2017）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14.《水喷雾灭火系统设计规范》（GB 50219-2014）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15.《气体灭火系统设计规范》（GB50370 -2005）</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16.《气体灭火系统施工及验收规范》（GB50263-2007）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17.《建筑灭火器配置设计规范》（GB50140 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18.《建筑灭火器配置验收及检查规范》（GB50444  2008）</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19.《干粉灭火系统设计规范》（GB50347  2004）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20.《通风与空调施工质量验收规范》（GB50243-2019）</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21.《建筑防烟排烟系统技术标准》（GB51251）</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22.《城市消防安全远程监控系统技术规范》（GB50440-2007）</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23.《电气火灾监控设备》（GB 14287.1-2014）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24.《剩余电流式电气火灾监控探测器》（GB 14287.2-2014）</w:t>
            </w:r>
          </w:p>
          <w:p>
            <w:pPr>
              <w:pStyle w:val="1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25.《测温式电气火灾监控探测器》（GB 14287.3-20141.4）</w:t>
            </w:r>
          </w:p>
          <w:p>
            <w:pPr>
              <w:pStyle w:val="9"/>
              <w:spacing w:line="360" w:lineRule="auto"/>
              <w:ind w:firstLine="0" w:firstLineChars="0"/>
              <w:contextualSpacing/>
              <w:jc w:val="both"/>
              <w:rPr>
                <w:rFonts w:hint="eastAsia" w:ascii="宋体" w:hAnsi="宋体" w:eastAsia="宋体" w:cs="仿宋_GB2312"/>
                <w:kern w:val="2"/>
                <w:sz w:val="24"/>
                <w:szCs w:val="24"/>
                <w:lang w:val="en-US" w:eastAsia="zh-CN"/>
              </w:rPr>
            </w:pPr>
            <w:r>
              <w:rPr>
                <w:rFonts w:hint="eastAsia" w:ascii="宋体" w:hAnsi="宋体" w:eastAsia="宋体" w:cs="宋体"/>
                <w:color w:val="auto"/>
                <w:sz w:val="21"/>
                <w:szCs w:val="21"/>
                <w:highlight w:val="none"/>
              </w:rPr>
              <w:t>26.《消防设施物联网系统技术标准》（DGTJ08-2251-2018）</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00" w:type="pct"/>
            <w:gridSpan w:val="5"/>
            <w:tcBorders>
              <w:right w:val="single" w:color="auto" w:sz="4" w:space="0"/>
            </w:tcBorders>
            <w:noWrap w:val="0"/>
            <w:vAlign w:val="center"/>
          </w:tcPr>
          <w:p>
            <w:pPr>
              <w:pStyle w:val="9"/>
              <w:spacing w:line="360" w:lineRule="auto"/>
              <w:ind w:firstLine="0" w:firstLineChars="0"/>
              <w:contextualSpacing/>
              <w:jc w:val="left"/>
              <w:rPr>
                <w:rFonts w:hint="eastAsia" w:ascii="宋体" w:hAnsi="宋体" w:eastAsia="宋体" w:cs="仿宋_GB2312"/>
                <w:b/>
                <w:bCs/>
                <w:kern w:val="2"/>
                <w:sz w:val="24"/>
                <w:szCs w:val="24"/>
                <w:lang w:val="en-US" w:eastAsia="zh-CN"/>
              </w:rPr>
            </w:pPr>
            <w:r>
              <w:rPr>
                <w:rFonts w:hint="eastAsia" w:ascii="宋体" w:hAnsi="宋体" w:eastAsia="宋体" w:cs="仿宋_GB2312"/>
                <w:b/>
                <w:bCs/>
                <w:kern w:val="2"/>
                <w:sz w:val="24"/>
                <w:szCs w:val="24"/>
                <w:lang w:val="en-US" w:eastAsia="zh-CN"/>
              </w:rPr>
              <w:t>商务部分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1</w:t>
            </w:r>
          </w:p>
        </w:tc>
        <w:tc>
          <w:tcPr>
            <w:tcW w:w="1696" w:type="pct"/>
            <w:tcBorders>
              <w:left w:val="single" w:color="auto" w:sz="4" w:space="0"/>
            </w:tcBorders>
            <w:noWrap w:val="0"/>
            <w:vAlign w:val="top"/>
          </w:tcPr>
          <w:p>
            <w:pPr>
              <w:spacing w:line="360" w:lineRule="exac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服务期及服务地点：</w:t>
            </w:r>
          </w:p>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服务期：自合同签订之日起9个月</w:t>
            </w:r>
            <w:r>
              <w:rPr>
                <w:rFonts w:hint="eastAsia" w:ascii="宋体" w:hAnsi="宋体" w:eastAsia="宋体" w:cs="宋体"/>
                <w:color w:val="auto"/>
                <w:sz w:val="21"/>
                <w:szCs w:val="21"/>
                <w:highlight w:val="none"/>
              </w:rPr>
              <w:t>（具体起止时间以合同签订时间为准）。</w:t>
            </w:r>
          </w:p>
          <w:p>
            <w:pPr>
              <w:pStyle w:val="2"/>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宋体" w:hAnsi="宋体" w:cs="宋体"/>
                <w:color w:val="auto"/>
                <w:sz w:val="21"/>
                <w:szCs w:val="21"/>
                <w:highlight w:val="none"/>
                <w:lang w:val="en-US" w:eastAsia="zh-CN"/>
              </w:rPr>
              <w:t>服务地点：</w:t>
            </w:r>
            <w:r>
              <w:rPr>
                <w:rFonts w:hint="eastAsia" w:ascii="宋体" w:hAnsi="宋体" w:eastAsia="宋体" w:cs="宋体"/>
                <w:color w:val="auto"/>
                <w:sz w:val="21"/>
                <w:szCs w:val="21"/>
                <w:lang w:val="en-US" w:eastAsia="zh-CN"/>
              </w:rPr>
              <w:t>北海市中医医院</w:t>
            </w:r>
            <w:r>
              <w:rPr>
                <w:rFonts w:hint="eastAsia" w:ascii="宋体" w:hAnsi="宋体" w:cs="宋体"/>
                <w:color w:val="auto"/>
                <w:sz w:val="21"/>
                <w:szCs w:val="21"/>
                <w:lang w:val="en-US" w:eastAsia="zh-CN"/>
              </w:rPr>
              <w:t>。</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2</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付款方式：</w:t>
            </w:r>
          </w:p>
          <w:p>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合同款分</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次支付，每</w:t>
            </w:r>
            <w:r>
              <w:rPr>
                <w:rFonts w:hint="eastAsia" w:ascii="宋体" w:hAnsi="宋体" w:eastAsia="宋体" w:cs="宋体"/>
                <w:color w:val="auto"/>
                <w:sz w:val="21"/>
                <w:szCs w:val="21"/>
                <w:highlight w:val="none"/>
                <w:lang w:val="en-US" w:eastAsia="zh-CN"/>
              </w:rPr>
              <w:t>3个月</w:t>
            </w:r>
            <w:r>
              <w:rPr>
                <w:rFonts w:hint="eastAsia" w:ascii="宋体" w:hAnsi="宋体" w:eastAsia="宋体" w:cs="宋体"/>
                <w:color w:val="auto"/>
                <w:sz w:val="21"/>
                <w:szCs w:val="21"/>
                <w:highlight w:val="none"/>
              </w:rPr>
              <w:t>支付一次。自合同签订生效之日起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个月后收到发票之日起10个工作日内，采购人向成交供应商支付合同价款的</w:t>
            </w:r>
            <w:r>
              <w:rPr>
                <w:rFonts w:hint="eastAsia" w:ascii="宋体" w:hAnsi="宋体" w:eastAsia="宋体" w:cs="宋体"/>
                <w:color w:val="auto"/>
                <w:sz w:val="21"/>
                <w:szCs w:val="21"/>
                <w:highlight w:val="none"/>
                <w:lang w:val="en-US" w:eastAsia="zh-CN"/>
              </w:rPr>
              <w:t>三分之一</w:t>
            </w:r>
            <w:r>
              <w:rPr>
                <w:rFonts w:hint="eastAsia" w:ascii="宋体" w:hAnsi="宋体" w:eastAsia="宋体" w:cs="宋体"/>
                <w:color w:val="auto"/>
                <w:sz w:val="21"/>
                <w:szCs w:val="21"/>
                <w:highlight w:val="none"/>
              </w:rPr>
              <w:t>；以此类推，每满</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个月后收到发票之日起10个工作日内采购人向成交供应商支付合同款的</w:t>
            </w:r>
            <w:r>
              <w:rPr>
                <w:rFonts w:hint="eastAsia" w:ascii="宋体" w:hAnsi="宋体" w:eastAsia="宋体" w:cs="宋体"/>
                <w:color w:val="auto"/>
                <w:sz w:val="21"/>
                <w:szCs w:val="21"/>
                <w:highlight w:val="none"/>
                <w:lang w:val="en-US" w:eastAsia="zh-CN"/>
              </w:rPr>
              <w:t>三分之一</w:t>
            </w:r>
            <w:r>
              <w:rPr>
                <w:rFonts w:hint="eastAsia" w:ascii="宋体" w:hAnsi="宋体" w:eastAsia="宋体" w:cs="宋体"/>
                <w:color w:val="auto"/>
                <w:sz w:val="21"/>
                <w:szCs w:val="21"/>
                <w:highlight w:val="none"/>
              </w:rPr>
              <w:t>。</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3</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供应商必须按照消防管理规定和国家对于消防维护服务相关规定提供服务，符合中华人民共和国应急管理部第七号令《社会消防技术服务管理规定》的从业要求，维保人员要严格遵守《中华人民共和国消防法》、《社会消防技术服务管理规定》和其他相关规定。</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在进场开展消防相关维护保养工作前，需对采购人维护保养内容中所列的消防相关情况进行全面的检查，并将不符合国家和地方有关建筑消防设施的法规和技术规范要求的情况，列出详细书面清单，并由双方签字确认，以厘清责任。</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在服务过程中，应严格遵守《中华人民共和国消防法》、《社会消防技术服务管理规定》和其他相关行业规定，依据国家现行标准GB25201《建筑消防设施的维护管理》中相关的规程及标准要求，完成负责项目的消防系统的日常检测维修、保养工作；</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须提供全天候应急处理服务，并在接到报修通知后及时派遣专业维保人员赶赴现场进行故障处理，一般情况下4小时内赶到现场，紧急情况下须在2小时内赶到现场，并将故障原因和处理结果及时报告给采购单位。一般故障6小时内解决，重大故障48小时内解决。成交供应商在规定时间内无故未到场，造成的一切后果由成交供应商负责。因故未能即时解决故障或需加工订制零部件的，成交供应商须向采购人说明原因，经采购人同意后重新确定故障修复时限；</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成交供应商应对消防设备按要求定期开展维保工作，将维保工作中的内容，如维修、监测项目和数量、发现的问题和整改建议等形成书面报告，分别由双方负责人签字存档。成交供应商须在重大节假日或特殊时节前对设备进行安全巡检工作；</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（6）成交供应商须自行配备工作所需的工具及各类设备，开展维保工作前设置现场安全警示标志及施工公告；</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（7）成交供应商例行保养工作时，发现零部件受损或严重老化必须更换时，须以书面报告方式告知采购人，并提供针对性整改建议。</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（8）成交供应商应时刻关注国家和地方消防相关法律法规动向，须在新的消防相关法律法规出台的30天内，对采购人处不符合新的消防相关法律法规的情况进行全面的检查，并出具书面的问题清单和整改建议。</w:t>
            </w:r>
          </w:p>
          <w:p>
            <w:pPr>
              <w:spacing w:line="360" w:lineRule="exact"/>
              <w:ind w:firstLine="420" w:firstLineChars="200"/>
              <w:rPr>
                <w:rFonts w:hint="eastAsia" w:ascii="宋体" w:hAnsi="宋体" w:eastAsia="宋体" w:cs="宋体"/>
                <w:color w:val="auto"/>
                <w:sz w:val="21"/>
                <w:szCs w:val="21"/>
                <w:highlight w:val="none"/>
              </w:rPr>
            </w:pP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2.拟投入人员要求：</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（1）拟投入维保人员须具备消防设施操作员或建（构）筑物消防员职业资格证书；</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（2）服务人员要求身体健康、品貌端正、品行优良、工作认真负责、能吃苦耐劳，无不良记录；</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（3）成交供应商提供不符合采购文件和规定的维保人员，采购人有权拒绝接受；</w:t>
            </w:r>
          </w:p>
          <w:p>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（4）维保人员在工作中应讲究礼貌、文明执勤遵守劳动纪律、保密制度等采购人的有关规定。如有违反纪律或不称职行为者，采购单位有权要求更换人员；</w:t>
            </w:r>
          </w:p>
          <w:p>
            <w:pPr>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为保持维保人员的稳定性，成交供应商须在合同签订后立即提供各项目维保人员名册，如更换维保人员须以书面形式报送采购人备案，采购人同意后才可更换。成交供应商应在维护服务期内加强现场管理，如在维护保养工作中发生人身伤亡或财产损失的，由成交供应商负责处理相关事宜且承担全部责任。。</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59"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r>
              <w:rPr>
                <w:rFonts w:hint="eastAsia" w:ascii="宋体" w:hAnsi="宋体" w:eastAsia="宋体" w:cs="仿宋_GB2312"/>
                <w:kern w:val="2"/>
                <w:sz w:val="24"/>
                <w:szCs w:val="24"/>
                <w:lang w:val="en-US" w:eastAsia="zh-CN"/>
              </w:rPr>
              <w:t>4</w:t>
            </w:r>
          </w:p>
        </w:tc>
        <w:tc>
          <w:tcPr>
            <w:tcW w:w="1696" w:type="pct"/>
            <w:tcBorders>
              <w:left w:val="single" w:color="auto" w:sz="4" w:space="0"/>
            </w:tcBorders>
            <w:noWrap w:val="0"/>
            <w:vAlign w:val="top"/>
          </w:tcPr>
          <w:p>
            <w:pPr>
              <w:spacing w:line="360" w:lineRule="exac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其他要求：</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1.在维保服务过程中，必须严格遵守服务现场管理规定和相关安全条款，维保前须向采购人进行报备，如有违反以上规定发生意外情况，造成的一切损失(人身和财产)由</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承担。</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2.在合同存续期内，因维护不当原因造成的一切损失(人身和财产)由成交供应商承担。</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3.成交供应商应严格执行国家有关的保密法律法规及规章制度。对采购人提供的相关资料，成交供应商应妥善保管，不得向第三方提供、转述该资料的任何部分，否则，造成严重后果的，追究其法律责任。</w:t>
            </w:r>
          </w:p>
          <w:p>
            <w:pPr>
              <w:pStyle w:val="18"/>
              <w:ind w:left="0" w:leftChars="0" w:firstLine="0" w:firstLineChars="0"/>
              <w:rPr>
                <w:rFonts w:hint="eastAsia" w:ascii="仿宋_GB2312" w:eastAsia="宋体" w:hAnsiTheme="minorHAnsi" w:cstheme="minorBidi"/>
                <w:bCs/>
                <w:spacing w:val="10"/>
                <w:kern w:val="0"/>
                <w:sz w:val="24"/>
                <w:szCs w:val="20"/>
                <w:lang w:val="en-US" w:eastAsia="zh-CN" w:bidi="ar-SA"/>
              </w:rPr>
            </w:pPr>
            <w:r>
              <w:rPr>
                <w:rFonts w:hint="eastAsia" w:ascii="宋体" w:hAnsi="宋体" w:eastAsia="宋体" w:cs="宋体"/>
                <w:color w:val="auto"/>
                <w:sz w:val="21"/>
                <w:szCs w:val="21"/>
                <w:lang w:val="en-US" w:eastAsia="zh-CN"/>
              </w:rPr>
              <w:t xml:space="preserve">    4.供应商必须承诺自行提供本项目的所有服务内容，不得转让或转包、分包。</w:t>
            </w:r>
          </w:p>
        </w:tc>
        <w:tc>
          <w:tcPr>
            <w:tcW w:w="1497" w:type="pct"/>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Borders>
              <w:right w:val="single" w:color="auto" w:sz="4" w:space="0"/>
            </w:tcBorders>
            <w:noWrap w:val="0"/>
            <w:vAlign w:val="center"/>
          </w:tcPr>
          <w:p>
            <w:pPr>
              <w:pStyle w:val="9"/>
              <w:spacing w:line="360" w:lineRule="auto"/>
              <w:ind w:firstLine="0" w:firstLineChars="0"/>
              <w:contextualSpacing/>
              <w:jc w:val="center"/>
              <w:rPr>
                <w:rFonts w:hint="eastAsia" w:ascii="宋体" w:hAnsi="宋体" w:eastAsia="宋体"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0" w:type="auto"/>
          </w:tcPr>
          <w:p>
            <w:pPr>
              <w:pStyle w:val="9"/>
              <w:spacing w:line="360" w:lineRule="auto"/>
              <w:ind w:firstLine="0" w:firstLineChars="0"/>
              <w:contextualSpacing/>
              <w:jc w:val="center"/>
              <w:rPr>
                <w:rFonts w:hint="eastAsia" w:ascii="宋体" w:hAnsi="宋体" w:eastAsia="宋体" w:cs="仿宋_GB2312"/>
                <w:kern w:val="2"/>
                <w:sz w:val="24"/>
                <w:szCs w:val="24"/>
                <w:lang w:val="en-US" w:eastAsia="zh-CN"/>
              </w:rPr>
            </w:pPr>
          </w:p>
        </w:tc>
        <w:tc>
          <w:tcPr>
            <w:tcW w:w="1696" w:type="pct"/>
            <w:vAlign w:val="center"/>
          </w:tcPr>
          <w:p>
            <w:pPr>
              <w:spacing w:line="360" w:lineRule="exact"/>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报价要求：</w:t>
            </w:r>
          </w:p>
          <w:p>
            <w:pPr>
              <w:spacing w:line="360" w:lineRule="exact"/>
              <w:ind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本次报价</w:t>
            </w:r>
            <w:r>
              <w:rPr>
                <w:rFonts w:hint="eastAsia" w:ascii="宋体" w:hAnsi="宋体" w:eastAsia="宋体" w:cs="宋体"/>
                <w:color w:val="auto"/>
                <w:sz w:val="21"/>
                <w:szCs w:val="21"/>
                <w:lang w:val="en-US" w:eastAsia="zh-CN"/>
              </w:rPr>
              <w:t>包含</w:t>
            </w:r>
            <w:r>
              <w:rPr>
                <w:rFonts w:hint="eastAsia" w:ascii="宋体" w:hAnsi="宋体" w:eastAsia="宋体" w:cs="宋体"/>
                <w:color w:val="auto"/>
                <w:sz w:val="21"/>
                <w:szCs w:val="21"/>
              </w:rPr>
              <w:t>服务费、人员工资、检测与试验费、仪器使用费、差旅费、通信费、交通费、设备使用费、印刷费、资料费、公司管理费、税金等与本项目服务工作有关的一切费用及利润；采购人不再支付成交价格以外的任何费用</w:t>
            </w:r>
          </w:p>
        </w:tc>
        <w:tc>
          <w:tcPr>
            <w:tcW w:w="1497" w:type="pct"/>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770" w:type="pct"/>
          </w:tcPr>
          <w:p>
            <w:pPr>
              <w:pStyle w:val="9"/>
              <w:spacing w:line="360" w:lineRule="auto"/>
              <w:ind w:firstLine="0" w:firstLineChars="0"/>
              <w:contextualSpacing/>
              <w:jc w:val="center"/>
              <w:rPr>
                <w:rFonts w:hint="eastAsia" w:ascii="宋体" w:hAnsi="宋体" w:eastAsia="宋体" w:cs="仿宋_GB2312"/>
                <w:kern w:val="2"/>
                <w:sz w:val="24"/>
                <w:szCs w:val="24"/>
              </w:rPr>
            </w:pPr>
          </w:p>
        </w:tc>
        <w:tc>
          <w:tcPr>
            <w:tcW w:w="576" w:type="pct"/>
          </w:tcPr>
          <w:p>
            <w:pPr>
              <w:pStyle w:val="9"/>
              <w:spacing w:line="360" w:lineRule="auto"/>
              <w:ind w:firstLine="0" w:firstLineChars="0"/>
              <w:contextualSpacing/>
              <w:jc w:val="center"/>
              <w:rPr>
                <w:rFonts w:hint="eastAsia" w:ascii="宋体" w:hAnsi="宋体" w:eastAsia="宋体" w:cs="仿宋_GB2312"/>
                <w:kern w:val="2"/>
                <w:sz w:val="24"/>
                <w:szCs w:val="24"/>
              </w:rPr>
            </w:pPr>
          </w:p>
        </w:tc>
      </w:tr>
    </w:tbl>
    <w:p>
      <w:pPr>
        <w:adjustRightInd w:val="0"/>
        <w:spacing w:line="360" w:lineRule="auto"/>
        <w:contextualSpacing/>
        <w:rPr>
          <w:rFonts w:hint="eastAsia" w:ascii="宋体" w:hAnsi="宋体" w:cs="仿宋_GB2312"/>
          <w:sz w:val="24"/>
        </w:rPr>
      </w:pP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 说明：应对照</w:t>
      </w:r>
      <w:r>
        <w:rPr>
          <w:rFonts w:hint="eastAsia" w:ascii="宋体" w:hAnsi="宋体" w:eastAsia="宋体" w:cs="仿宋_GB2312"/>
          <w:sz w:val="24"/>
          <w:szCs w:val="24"/>
          <w:lang w:val="en-US" w:eastAsia="zh-CN"/>
        </w:rPr>
        <w:t>采购</w:t>
      </w:r>
      <w:r>
        <w:rPr>
          <w:rFonts w:hint="eastAsia" w:ascii="宋体" w:hAnsi="宋体" w:eastAsia="宋体" w:cs="仿宋_GB2312"/>
          <w:sz w:val="24"/>
          <w:szCs w:val="24"/>
        </w:rPr>
        <w:t>文件中的技术要求逐条作出明确响应，并作出偏离说明。</w:t>
      </w:r>
    </w:p>
    <w:p>
      <w:pPr>
        <w:pStyle w:val="9"/>
        <w:spacing w:line="360" w:lineRule="auto"/>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2.供应商应根据自身的承诺，对照文件要求，在“偏离说明”中注明“正偏离”、“负偏离”或者“无偏离”。既不属于“正偏离”也不属于“负偏离”即为“无偏离”。</w:t>
      </w:r>
    </w:p>
    <w:p>
      <w:pPr>
        <w:spacing w:line="400" w:lineRule="exact"/>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b/>
          <w:bCs/>
          <w:color w:va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bookmarkStart w:id="72" w:name="_GoBack"/>
      <w:bookmarkEnd w:id="72"/>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A2B8D"/>
    <w:multiLevelType w:val="singleLevel"/>
    <w:tmpl w:val="927A2B8D"/>
    <w:lvl w:ilvl="0" w:tentative="0">
      <w:start w:val="2"/>
      <w:numFmt w:val="decimal"/>
      <w:lvlText w:val="%1."/>
      <w:lvlJc w:val="left"/>
      <w:pPr>
        <w:tabs>
          <w:tab w:val="left" w:pos="312"/>
        </w:tabs>
      </w:pPr>
    </w:lvl>
  </w:abstractNum>
  <w:abstractNum w:abstractNumId="1">
    <w:nsid w:val="9634483E"/>
    <w:multiLevelType w:val="singleLevel"/>
    <w:tmpl w:val="9634483E"/>
    <w:lvl w:ilvl="0" w:tentative="0">
      <w:start w:val="3"/>
      <w:numFmt w:val="decimal"/>
      <w:lvlText w:val="%1."/>
      <w:lvlJc w:val="left"/>
      <w:pPr>
        <w:tabs>
          <w:tab w:val="left" w:pos="312"/>
        </w:tabs>
      </w:pPr>
    </w:lvl>
  </w:abstractNum>
  <w:abstractNum w:abstractNumId="2">
    <w:nsid w:val="FCF39B0E"/>
    <w:multiLevelType w:val="singleLevel"/>
    <w:tmpl w:val="FCF39B0E"/>
    <w:lvl w:ilvl="0" w:tentative="0">
      <w:start w:val="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YzM1MjVlMzFmZjYxZDgxZjhmYjQzMDg0ZTVmOTMifQ=="/>
  </w:docVars>
  <w:rsids>
    <w:rsidRoot w:val="00000000"/>
    <w:rsid w:val="007B7CC9"/>
    <w:rsid w:val="01B84BEB"/>
    <w:rsid w:val="02BD75DA"/>
    <w:rsid w:val="037D072F"/>
    <w:rsid w:val="0402496D"/>
    <w:rsid w:val="05292151"/>
    <w:rsid w:val="05803C79"/>
    <w:rsid w:val="05A85CFB"/>
    <w:rsid w:val="05B1657D"/>
    <w:rsid w:val="05D52594"/>
    <w:rsid w:val="05FE4192"/>
    <w:rsid w:val="06361B7E"/>
    <w:rsid w:val="06417756"/>
    <w:rsid w:val="0652740E"/>
    <w:rsid w:val="07DF6CB0"/>
    <w:rsid w:val="092B6B72"/>
    <w:rsid w:val="09652EA6"/>
    <w:rsid w:val="0AEE6EBE"/>
    <w:rsid w:val="0B640DAA"/>
    <w:rsid w:val="0B982FDE"/>
    <w:rsid w:val="0D957AD2"/>
    <w:rsid w:val="10183569"/>
    <w:rsid w:val="11691403"/>
    <w:rsid w:val="11FD083A"/>
    <w:rsid w:val="1239411A"/>
    <w:rsid w:val="14B84A6C"/>
    <w:rsid w:val="15C045E5"/>
    <w:rsid w:val="175C192A"/>
    <w:rsid w:val="189B7EE1"/>
    <w:rsid w:val="1948775C"/>
    <w:rsid w:val="1A460F30"/>
    <w:rsid w:val="1B647E6A"/>
    <w:rsid w:val="1BA65D80"/>
    <w:rsid w:val="1BFD51C0"/>
    <w:rsid w:val="1CFE0B16"/>
    <w:rsid w:val="1D6055D0"/>
    <w:rsid w:val="1E99494D"/>
    <w:rsid w:val="1F6470C9"/>
    <w:rsid w:val="205025CB"/>
    <w:rsid w:val="21A44FF7"/>
    <w:rsid w:val="2206617A"/>
    <w:rsid w:val="22250295"/>
    <w:rsid w:val="241E2E79"/>
    <w:rsid w:val="258437A1"/>
    <w:rsid w:val="281364C9"/>
    <w:rsid w:val="286F7E3D"/>
    <w:rsid w:val="2892056C"/>
    <w:rsid w:val="28F67420"/>
    <w:rsid w:val="298A0219"/>
    <w:rsid w:val="29B03871"/>
    <w:rsid w:val="2A4B352D"/>
    <w:rsid w:val="2A781EB5"/>
    <w:rsid w:val="2A810EB4"/>
    <w:rsid w:val="2B786D6C"/>
    <w:rsid w:val="2D1C7470"/>
    <w:rsid w:val="2EF61EBF"/>
    <w:rsid w:val="2F8E5BB6"/>
    <w:rsid w:val="30711A36"/>
    <w:rsid w:val="31404A38"/>
    <w:rsid w:val="329C7EC6"/>
    <w:rsid w:val="32D13B5C"/>
    <w:rsid w:val="349977F4"/>
    <w:rsid w:val="359A3B85"/>
    <w:rsid w:val="35BC359E"/>
    <w:rsid w:val="35C41EE5"/>
    <w:rsid w:val="369342FF"/>
    <w:rsid w:val="37C13FF1"/>
    <w:rsid w:val="39B84172"/>
    <w:rsid w:val="3A7111E0"/>
    <w:rsid w:val="3B1A35A5"/>
    <w:rsid w:val="3BF53366"/>
    <w:rsid w:val="3E18333B"/>
    <w:rsid w:val="3E4E2372"/>
    <w:rsid w:val="3EF50189"/>
    <w:rsid w:val="3F990DFA"/>
    <w:rsid w:val="4065700E"/>
    <w:rsid w:val="41CF68E1"/>
    <w:rsid w:val="41F222D7"/>
    <w:rsid w:val="423D2473"/>
    <w:rsid w:val="43233CA8"/>
    <w:rsid w:val="43E837B0"/>
    <w:rsid w:val="464F0997"/>
    <w:rsid w:val="468A65A6"/>
    <w:rsid w:val="46F97410"/>
    <w:rsid w:val="474B200D"/>
    <w:rsid w:val="47F07F64"/>
    <w:rsid w:val="480908C5"/>
    <w:rsid w:val="49E1317B"/>
    <w:rsid w:val="4A05193C"/>
    <w:rsid w:val="4BD84FF1"/>
    <w:rsid w:val="4EA53C12"/>
    <w:rsid w:val="4F245F47"/>
    <w:rsid w:val="4F3D5943"/>
    <w:rsid w:val="50173DDD"/>
    <w:rsid w:val="50CE26AB"/>
    <w:rsid w:val="53D3124A"/>
    <w:rsid w:val="55B92C9D"/>
    <w:rsid w:val="562E7748"/>
    <w:rsid w:val="5696615E"/>
    <w:rsid w:val="58C90216"/>
    <w:rsid w:val="58D46DDE"/>
    <w:rsid w:val="5943350B"/>
    <w:rsid w:val="59663FBD"/>
    <w:rsid w:val="59A33FA9"/>
    <w:rsid w:val="5B6F7BE4"/>
    <w:rsid w:val="5C7120A1"/>
    <w:rsid w:val="5D810AA5"/>
    <w:rsid w:val="5FC15189"/>
    <w:rsid w:val="60204143"/>
    <w:rsid w:val="605E7A9B"/>
    <w:rsid w:val="61EE39EB"/>
    <w:rsid w:val="627D7452"/>
    <w:rsid w:val="63737EDD"/>
    <w:rsid w:val="637A2DB4"/>
    <w:rsid w:val="65864FD8"/>
    <w:rsid w:val="68355B04"/>
    <w:rsid w:val="6C1D0D5E"/>
    <w:rsid w:val="6DBE71AC"/>
    <w:rsid w:val="6DC910DD"/>
    <w:rsid w:val="6E471168"/>
    <w:rsid w:val="70220E08"/>
    <w:rsid w:val="718756DA"/>
    <w:rsid w:val="72E0764F"/>
    <w:rsid w:val="741D664D"/>
    <w:rsid w:val="749770EE"/>
    <w:rsid w:val="76B84CCF"/>
    <w:rsid w:val="77637BB6"/>
    <w:rsid w:val="778B23D2"/>
    <w:rsid w:val="79517126"/>
    <w:rsid w:val="797D616D"/>
    <w:rsid w:val="7A923E9A"/>
    <w:rsid w:val="7AEC5358"/>
    <w:rsid w:val="7C6B14E4"/>
    <w:rsid w:val="7C8D4F98"/>
    <w:rsid w:val="7CB83264"/>
    <w:rsid w:val="7DBF3660"/>
    <w:rsid w:val="7DE946D6"/>
    <w:rsid w:val="7ED0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340" w:after="330" w:line="576" w:lineRule="auto"/>
      <w:jc w:val="center"/>
      <w:outlineLvl w:val="0"/>
    </w:pPr>
    <w:rPr>
      <w:rFonts w:ascii="Calibri" w:hAnsi="Calibri" w:eastAsia="宋体" w:cs="Times New Roman"/>
      <w:kern w:val="44"/>
      <w:sz w:val="44"/>
    </w:rPr>
  </w:style>
  <w:style w:type="paragraph" w:styleId="6">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7">
    <w:name w:val="heading 4"/>
    <w:basedOn w:val="1"/>
    <w:next w:val="1"/>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spacing w:after="120" w:line="240" w:lineRule="auto"/>
      <w:ind w:firstLine="420" w:firstLineChars="100"/>
    </w:pPr>
    <w:rPr>
      <w:rFonts w:ascii="Times New Roman" w:hAnsi="Times New Roman" w:eastAsia="宋体" w:cs="Times New Roman"/>
      <w:sz w:val="21"/>
    </w:rPr>
  </w:style>
  <w:style w:type="paragraph" w:styleId="3">
    <w:name w:val="Body Text"/>
    <w:basedOn w:val="1"/>
    <w:next w:val="1"/>
    <w:autoRedefine/>
    <w:qFormat/>
    <w:uiPriority w:val="0"/>
    <w:pPr>
      <w:spacing w:line="380" w:lineRule="exact"/>
    </w:pPr>
    <w:rPr>
      <w:rFonts w:ascii="Times New Roman" w:hAnsi="Times New Roman" w:eastAsia="宋体" w:cs="Times New Roman"/>
      <w:sz w:val="24"/>
    </w:rPr>
  </w:style>
  <w:style w:type="paragraph" w:styleId="5">
    <w:name w:val="Title"/>
    <w:basedOn w:val="1"/>
    <w:next w:val="1"/>
    <w:autoRedefine/>
    <w:qFormat/>
    <w:uiPriority w:val="0"/>
    <w:pPr>
      <w:spacing w:before="240" w:after="60"/>
      <w:jc w:val="center"/>
      <w:outlineLvl w:val="0"/>
    </w:pPr>
    <w:rPr>
      <w:rFonts w:ascii="Cambria" w:hAnsi="Cambria" w:eastAsia="宋体" w:cs="Times New Roman"/>
      <w:b/>
      <w:bCs/>
      <w:sz w:val="32"/>
      <w:szCs w:val="32"/>
    </w:rPr>
  </w:style>
  <w:style w:type="paragraph" w:styleId="8">
    <w:name w:val="Normal Indent"/>
    <w:basedOn w:val="1"/>
    <w:next w:val="1"/>
    <w:autoRedefine/>
    <w:qFormat/>
    <w:uiPriority w:val="0"/>
    <w:pPr>
      <w:ind w:firstLine="420" w:firstLineChars="200"/>
    </w:pPr>
  </w:style>
  <w:style w:type="paragraph" w:styleId="9">
    <w:name w:val="Body Text Indent"/>
    <w:basedOn w:val="1"/>
    <w:autoRedefine/>
    <w:qFormat/>
    <w:uiPriority w:val="0"/>
    <w:pPr>
      <w:ind w:firstLine="830" w:firstLineChars="352"/>
    </w:pPr>
    <w:rPr>
      <w:rFonts w:ascii="仿宋_GB2312" w:eastAsia="仿宋_GB2312"/>
      <w:sz w:val="32"/>
      <w:szCs w:val="20"/>
    </w:rPr>
  </w:style>
  <w:style w:type="paragraph" w:styleId="10">
    <w:name w:val="Plain Text"/>
    <w:basedOn w:val="1"/>
    <w:next w:val="1"/>
    <w:autoRedefine/>
    <w:qFormat/>
    <w:uiPriority w:val="0"/>
    <w:rPr>
      <w:rFonts w:hint="eastAsia" w:ascii="宋体" w:hAnsi="Courier New" w:eastAsia="宋体" w:cs="Times New Roman"/>
      <w:szCs w:val="21"/>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
    <w:next w:val="8"/>
    <w:autoRedefine/>
    <w:qFormat/>
    <w:uiPriority w:val="0"/>
    <w:pPr>
      <w:spacing w:after="120"/>
      <w:ind w:left="420" w:leftChars="200" w:firstLine="420" w:firstLineChars="200"/>
    </w:pPr>
    <w:rPr>
      <w:rFonts w:ascii="Times New Roman" w:eastAsia="宋体"/>
      <w:sz w:val="21"/>
      <w:szCs w:val="24"/>
    </w:rPr>
  </w:style>
  <w:style w:type="table" w:styleId="16">
    <w:name w:val="Table Grid"/>
    <w:basedOn w:val="1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表格文字"/>
    <w:basedOn w:val="9"/>
    <w:next w:val="3"/>
    <w:autoRedefine/>
    <w:qFormat/>
    <w:uiPriority w:val="0"/>
    <w:pPr>
      <w:spacing w:before="25" w:after="25"/>
      <w:jc w:val="left"/>
    </w:pPr>
    <w:rPr>
      <w:bCs/>
      <w:spacing w:val="10"/>
      <w:kern w:val="0"/>
      <w:sz w:val="24"/>
      <w:szCs w:val="20"/>
    </w:rPr>
  </w:style>
  <w:style w:type="paragraph" w:customStyle="1" w:styleId="19">
    <w:name w:val="Default"/>
    <w:basedOn w:val="5"/>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表内文字"/>
    <w:basedOn w:val="1"/>
    <w:autoRedefine/>
    <w:qFormat/>
    <w:uiPriority w:val="0"/>
    <w:pPr>
      <w:snapToGrid w:val="0"/>
      <w:spacing w:line="320" w:lineRule="exact"/>
    </w:pPr>
    <w:rPr>
      <w:rFonts w:hint="eastAsia" w:ascii="宋体" w:hAnsi="宋体" w:eastAsia="宋体" w:cs="Times New Roman"/>
      <w:szCs w:val="21"/>
    </w:rPr>
  </w:style>
  <w:style w:type="paragraph" w:customStyle="1" w:styleId="21">
    <w:name w:val="列出段落1"/>
    <w:basedOn w:val="1"/>
    <w:autoRedefine/>
    <w:qFormat/>
    <w:uiPriority w:val="34"/>
    <w:pPr>
      <w:ind w:firstLine="420" w:firstLineChars="200"/>
    </w:pPr>
    <w:rPr>
      <w:rFonts w:ascii="Arial" w:hAnsi="Arial" w:eastAsia="黑体"/>
      <w:szCs w:val="22"/>
    </w:rPr>
  </w:style>
  <w:style w:type="paragraph" w:customStyle="1" w:styleId="22">
    <w:name w:val="List Paragraph"/>
    <w:basedOn w:val="1"/>
    <w:autoRedefine/>
    <w:qFormat/>
    <w:uiPriority w:val="34"/>
    <w:pPr>
      <w:ind w:firstLine="420" w:firstLineChars="200"/>
    </w:pPr>
  </w:style>
  <w:style w:type="paragraph" w:customStyle="1" w:styleId="23">
    <w:name w:val="179"/>
    <w:basedOn w:val="1"/>
    <w:autoRedefine/>
    <w:qFormat/>
    <w:uiPriority w:val="0"/>
    <w:pPr>
      <w:ind w:firstLine="420" w:firstLineChars="200"/>
      <w:jc w:val="both"/>
      <w:textAlignment w:val="baseline"/>
    </w:pPr>
  </w:style>
  <w:style w:type="character" w:customStyle="1" w:styleId="24">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1307</Words>
  <Characters>1395</Characters>
  <Lines>0</Lines>
  <Paragraphs>0</Paragraphs>
  <TotalTime>38</TotalTime>
  <ScaleCrop>false</ScaleCrop>
  <LinksUpToDate>false</LinksUpToDate>
  <CharactersWithSpaces>1637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筱文</cp:lastModifiedBy>
  <dcterms:modified xsi:type="dcterms:W3CDTF">2024-03-26T00:55:56Z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0219FAD19FF14CF1A3A89B3E47ABBB2B_13</vt:lpwstr>
  </property>
</Properties>
</file>